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BC" w:rsidRPr="0074705F" w:rsidRDefault="00AF75BC" w:rsidP="00AF75BC">
      <w:pPr>
        <w:jc w:val="both"/>
        <w:rPr>
          <w:rFonts w:ascii="Arial" w:hAnsi="Arial" w:cs="Arial"/>
        </w:rPr>
      </w:pPr>
      <w:r w:rsidRPr="0074705F">
        <w:rPr>
          <w:rFonts w:ascii="Arial" w:hAnsi="Arial" w:cs="Arial"/>
        </w:rPr>
        <w:t xml:space="preserve">San Luis de la Paz, Guanajuato., </w:t>
      </w:r>
      <w:r>
        <w:rPr>
          <w:rFonts w:ascii="Arial" w:hAnsi="Arial" w:cs="Arial"/>
        </w:rPr>
        <w:t>25 veinticinco</w:t>
      </w:r>
      <w:r w:rsidRPr="0074705F">
        <w:rPr>
          <w:rFonts w:ascii="Arial" w:hAnsi="Arial" w:cs="Arial"/>
        </w:rPr>
        <w:t xml:space="preserve"> de </w:t>
      </w:r>
      <w:r>
        <w:rPr>
          <w:rFonts w:ascii="Arial" w:hAnsi="Arial" w:cs="Arial"/>
        </w:rPr>
        <w:t xml:space="preserve">noviembre </w:t>
      </w:r>
      <w:r w:rsidRPr="0074705F">
        <w:rPr>
          <w:rFonts w:ascii="Arial" w:hAnsi="Arial" w:cs="Arial"/>
        </w:rPr>
        <w:t>de 2020 dos mil veinte</w:t>
      </w:r>
      <w:r>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VISTOS.-</w:t>
      </w:r>
      <w:r w:rsidRPr="0074705F">
        <w:rPr>
          <w:rFonts w:ascii="Arial" w:hAnsi="Arial" w:cs="Arial"/>
        </w:rPr>
        <w:t xml:space="preserve"> Para resolver los autos de la Demanda de Juicio de Nulidad Expediente Número 25/2020, promovido por la ciudadana  </w:t>
      </w:r>
      <w:r>
        <w:rPr>
          <w:rFonts w:ascii="Arial" w:hAnsi="Arial" w:cs="Arial"/>
        </w:rPr>
        <w:t>**</w:t>
      </w:r>
      <w:r w:rsidRPr="0074705F">
        <w:rPr>
          <w:rFonts w:ascii="Arial" w:hAnsi="Arial" w:cs="Arial"/>
          <w:b/>
        </w:rPr>
        <w:t xml:space="preserve">, </w:t>
      </w:r>
      <w:r w:rsidRPr="0074705F">
        <w:rPr>
          <w:rFonts w:ascii="Arial" w:hAnsi="Arial" w:cs="Arial"/>
        </w:rPr>
        <w:t>ha llegado el momento de resolver lo que en derecho proceda y.------------</w:t>
      </w:r>
      <w:r>
        <w:rPr>
          <w:rFonts w:ascii="Arial" w:hAnsi="Arial" w:cs="Arial"/>
        </w:rPr>
        <w:t>--------------------------</w:t>
      </w:r>
      <w:r w:rsidRPr="0074705F">
        <w:rPr>
          <w:rFonts w:ascii="Arial" w:hAnsi="Arial" w:cs="Arial"/>
        </w:rPr>
        <w:t>----------------</w:t>
      </w:r>
      <w:r>
        <w:rPr>
          <w:rFonts w:ascii="Arial" w:hAnsi="Arial" w:cs="Arial"/>
        </w:rPr>
        <w:t>-----------------</w:t>
      </w:r>
    </w:p>
    <w:p w:rsidR="00AF75BC" w:rsidRPr="0074705F" w:rsidRDefault="00AF75BC" w:rsidP="00AF75BC">
      <w:pPr>
        <w:jc w:val="center"/>
        <w:rPr>
          <w:rFonts w:ascii="Arial" w:hAnsi="Arial" w:cs="Arial"/>
          <w:b/>
        </w:rPr>
      </w:pPr>
      <w:r w:rsidRPr="0074705F">
        <w:rPr>
          <w:rFonts w:ascii="Arial" w:hAnsi="Arial" w:cs="Arial"/>
          <w:b/>
        </w:rPr>
        <w:t>R E S U L T A N D O</w:t>
      </w:r>
    </w:p>
    <w:p w:rsidR="00AF75BC" w:rsidRPr="0074705F" w:rsidRDefault="00AF75BC" w:rsidP="00AF75BC">
      <w:pPr>
        <w:jc w:val="both"/>
        <w:rPr>
          <w:rFonts w:ascii="Arial" w:hAnsi="Arial" w:cs="Arial"/>
        </w:rPr>
      </w:pPr>
      <w:r w:rsidRPr="0074705F">
        <w:rPr>
          <w:rFonts w:ascii="Arial" w:hAnsi="Arial" w:cs="Arial"/>
          <w:b/>
        </w:rPr>
        <w:t>PRIMERO.-</w:t>
      </w:r>
      <w:r w:rsidRPr="0074705F">
        <w:rPr>
          <w:rFonts w:ascii="Arial" w:hAnsi="Arial" w:cs="Arial"/>
        </w:rPr>
        <w:t xml:space="preserve"> En fecha 10 diez de marzo de 2020 dos mil veinte, el ciudadano  </w:t>
      </w:r>
      <w:r w:rsidRPr="0074705F">
        <w:rPr>
          <w:rFonts w:ascii="Arial" w:hAnsi="Arial" w:cs="Arial"/>
          <w:b/>
        </w:rPr>
        <w:t xml:space="preserve">JOSEFINA GONZÁLEZ, </w:t>
      </w:r>
      <w:r w:rsidRPr="0074705F">
        <w:rPr>
          <w:rFonts w:ascii="Arial" w:hAnsi="Arial" w:cs="Arial"/>
        </w:rPr>
        <w:t>promovió  Demanda de Juicio de Nulidad en contra de la Junta Municipal de Agua Potable y Alcantarillado  de San Luis de la Paz, Guanajuato, sobre los actos administrativos  traducidos en: El oficio DG-0023/2020, de fecha 15 quince de enero de 2020 dos mil veinte,    solicitando la nulidad de la misma en  los términos del artículo 255 del Código de Procedimiento y Justicia Administrativa para el Estado y los Municipios de Guanajuato.---------------------------------------</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SEGUNDO.-</w:t>
      </w:r>
      <w:r w:rsidRPr="0074705F">
        <w:rPr>
          <w:rFonts w:ascii="Arial" w:hAnsi="Arial" w:cs="Arial"/>
        </w:rPr>
        <w:t xml:space="preserve"> Por auto de fecha 11 once de marzo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12 doce y 13 trece de marzo  de 2020 dos mil veinte.-------</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TERCERO.-</w:t>
      </w:r>
      <w:r w:rsidRPr="0074705F">
        <w:rPr>
          <w:rFonts w:ascii="Arial" w:hAnsi="Arial" w:cs="Arial"/>
        </w:rPr>
        <w:t xml:space="preserve"> Por auto de fecha 6 seis  de julio  del año que corre, se tuvo a las autoridad demandada  </w:t>
      </w:r>
      <w:r w:rsidRPr="0074705F">
        <w:rPr>
          <w:rFonts w:ascii="Arial" w:hAnsi="Arial" w:cs="Arial"/>
          <w:b/>
        </w:rPr>
        <w:t>por  dando contestación en tiempo y forma</w:t>
      </w:r>
      <w:r w:rsidRPr="0074705F">
        <w:rPr>
          <w:rFonts w:ascii="Arial" w:hAnsi="Arial" w:cs="Arial"/>
        </w:rPr>
        <w:t xml:space="preserve"> a la demanda interpuesta en su contra, lo anterior de conformidad con el artículo 279  del  Código que rige a la materia.-------------------------------------------</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 xml:space="preserve">CUARTO.- </w:t>
      </w:r>
      <w:r w:rsidRPr="0074705F">
        <w:rPr>
          <w:rFonts w:ascii="Arial" w:hAnsi="Arial" w:cs="Arial"/>
        </w:rPr>
        <w:t>En fecha 3 tres de noviembre   de 2020 dos mil veinte,  se celebró la  Audiencia de Alegatos,  con  la formulación de apuntes de alegatos de la recurrida,   lo anterior de conformidad con los artículos 287 del Código de la materia.------</w:t>
      </w:r>
      <w:r>
        <w:rPr>
          <w:rFonts w:ascii="Arial" w:hAnsi="Arial" w:cs="Arial"/>
        </w:rPr>
        <w:t>---------</w:t>
      </w:r>
    </w:p>
    <w:p w:rsidR="00AF75BC" w:rsidRPr="0074705F" w:rsidRDefault="00AF75BC" w:rsidP="00AF75BC">
      <w:pPr>
        <w:jc w:val="center"/>
        <w:rPr>
          <w:rFonts w:ascii="Arial" w:hAnsi="Arial" w:cs="Arial"/>
          <w:b/>
        </w:rPr>
      </w:pPr>
      <w:r w:rsidRPr="0074705F">
        <w:rPr>
          <w:rFonts w:ascii="Arial" w:hAnsi="Arial" w:cs="Arial"/>
          <w:b/>
        </w:rPr>
        <w:t>C O N S I D E R A N D O</w:t>
      </w:r>
    </w:p>
    <w:p w:rsidR="00AF75BC" w:rsidRPr="0074705F" w:rsidRDefault="00AF75BC" w:rsidP="00AF75BC">
      <w:pPr>
        <w:jc w:val="both"/>
        <w:rPr>
          <w:rFonts w:ascii="Arial" w:hAnsi="Arial" w:cs="Arial"/>
        </w:rPr>
      </w:pPr>
      <w:r w:rsidRPr="0074705F">
        <w:rPr>
          <w:rFonts w:ascii="Arial" w:hAnsi="Arial" w:cs="Arial"/>
          <w:b/>
        </w:rPr>
        <w:t xml:space="preserve">PRIMERO.- </w:t>
      </w:r>
      <w:r w:rsidRPr="0074705F">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i/>
        </w:rPr>
      </w:pPr>
      <w:r w:rsidRPr="0074705F">
        <w:rPr>
          <w:rFonts w:ascii="Arial" w:hAnsi="Arial" w:cs="Arial"/>
          <w:b/>
        </w:rPr>
        <w:t>SEGUNDO.-</w:t>
      </w:r>
      <w:r w:rsidRPr="0074705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74705F">
        <w:rPr>
          <w:rFonts w:ascii="Arial" w:hAnsi="Arial" w:cs="Arial"/>
          <w:b/>
          <w:i/>
        </w:rPr>
        <w:t>SOBRESEIMIENTO, MOTIVOS DE</w:t>
      </w:r>
      <w:r w:rsidRPr="0074705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F75BC" w:rsidRPr="0074705F" w:rsidRDefault="00AF75BC" w:rsidP="00AF75BC">
      <w:pPr>
        <w:jc w:val="both"/>
        <w:rPr>
          <w:rFonts w:ascii="Arial" w:hAnsi="Arial" w:cs="Arial"/>
          <w:i/>
        </w:rPr>
      </w:pPr>
      <w:r w:rsidRPr="0074705F">
        <w:rPr>
          <w:rFonts w:ascii="Arial" w:hAnsi="Arial" w:cs="Arial"/>
          <w:b/>
          <w:i/>
        </w:rPr>
        <w:t>“IMPROCEDENCIA.-</w:t>
      </w:r>
      <w:r w:rsidRPr="0074705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F75BC" w:rsidRDefault="00AF75BC" w:rsidP="00AF75BC">
      <w:pPr>
        <w:jc w:val="both"/>
        <w:rPr>
          <w:rFonts w:ascii="Arial" w:hAnsi="Arial" w:cs="Arial"/>
        </w:rPr>
      </w:pPr>
      <w:r w:rsidRPr="0074705F">
        <w:rPr>
          <w:rFonts w:ascii="Arial" w:hAnsi="Arial" w:cs="Arial"/>
        </w:rPr>
        <w:t xml:space="preserve">El que juzga llega a la conclusión que el  presente proceso  se debe sobreseer, ergo, la demandante  no cuenta con un contrato de prestación de servicios de agua potable y alcantarillado celebrado a su nombre en el domicilio ubicado en la calle </w:t>
      </w:r>
      <w:r>
        <w:rPr>
          <w:rFonts w:ascii="Arial" w:hAnsi="Arial" w:cs="Arial"/>
        </w:rPr>
        <w:t>**</w:t>
      </w:r>
      <w:r w:rsidRPr="0074705F">
        <w:rPr>
          <w:rFonts w:ascii="Arial" w:hAnsi="Arial" w:cs="Arial"/>
        </w:rPr>
        <w:t xml:space="preserve"> </w:t>
      </w:r>
    </w:p>
    <w:p w:rsidR="00AF75BC" w:rsidRDefault="00AF75BC" w:rsidP="00AF75BC">
      <w:pPr>
        <w:jc w:val="both"/>
        <w:rPr>
          <w:rFonts w:ascii="Arial" w:hAnsi="Arial" w:cs="Arial"/>
        </w:rPr>
      </w:pPr>
    </w:p>
    <w:p w:rsidR="00AF75BC" w:rsidRDefault="00AF75BC" w:rsidP="00AF75BC">
      <w:pPr>
        <w:jc w:val="both"/>
        <w:rPr>
          <w:rFonts w:ascii="Arial" w:hAnsi="Arial" w:cs="Arial"/>
        </w:rPr>
      </w:pPr>
    </w:p>
    <w:p w:rsidR="00AF75BC" w:rsidRPr="0074705F" w:rsidRDefault="00AF75BC" w:rsidP="00AF75BC">
      <w:pPr>
        <w:jc w:val="both"/>
        <w:rPr>
          <w:rFonts w:ascii="Arial" w:hAnsi="Arial" w:cs="Arial"/>
        </w:rPr>
      </w:pPr>
      <w:r>
        <w:rPr>
          <w:rFonts w:ascii="Arial" w:hAnsi="Arial" w:cs="Arial"/>
        </w:rPr>
        <w:lastRenderedPageBreak/>
        <w:t>**</w:t>
      </w:r>
      <w:r w:rsidRPr="0074705F">
        <w:rPr>
          <w:rFonts w:ascii="Arial" w:hAnsi="Arial" w:cs="Arial"/>
        </w:rPr>
        <w:t xml:space="preserve"> </w:t>
      </w:r>
      <w:proofErr w:type="gramStart"/>
      <w:r w:rsidRPr="0074705F">
        <w:rPr>
          <w:rFonts w:ascii="Arial" w:hAnsi="Arial" w:cs="Arial"/>
        </w:rPr>
        <w:t>número</w:t>
      </w:r>
      <w:proofErr w:type="gramEnd"/>
      <w:r w:rsidRPr="0074705F">
        <w:rPr>
          <w:rFonts w:ascii="Arial" w:hAnsi="Arial" w:cs="Arial"/>
        </w:rPr>
        <w:t xml:space="preserve"> </w:t>
      </w:r>
      <w:r>
        <w:rPr>
          <w:rFonts w:ascii="Arial" w:hAnsi="Arial" w:cs="Arial"/>
        </w:rPr>
        <w:t>**</w:t>
      </w:r>
      <w:r w:rsidRPr="0074705F">
        <w:rPr>
          <w:rFonts w:ascii="Arial" w:hAnsi="Arial" w:cs="Arial"/>
        </w:rPr>
        <w:t xml:space="preserve">, Colonia </w:t>
      </w:r>
      <w:r>
        <w:rPr>
          <w:rFonts w:ascii="Arial" w:hAnsi="Arial" w:cs="Arial"/>
        </w:rPr>
        <w:t>** de e</w:t>
      </w:r>
      <w:r w:rsidRPr="0074705F">
        <w:rPr>
          <w:rFonts w:ascii="Arial" w:hAnsi="Arial" w:cs="Arial"/>
        </w:rPr>
        <w:t>sta Ciudad de San Luis de la Paz, Guanajuato.</w:t>
      </w:r>
    </w:p>
    <w:p w:rsidR="00AF75BC" w:rsidRPr="0074705F" w:rsidRDefault="00AF75BC" w:rsidP="00AF75BC">
      <w:pPr>
        <w:jc w:val="both"/>
        <w:rPr>
          <w:rFonts w:ascii="Arial" w:hAnsi="Arial" w:cs="Arial"/>
        </w:rPr>
      </w:pPr>
      <w:r w:rsidRPr="0074705F">
        <w:rPr>
          <w:rFonts w:ascii="Arial" w:hAnsi="Arial" w:cs="Arial"/>
        </w:rPr>
        <w:t xml:space="preserve">El señalado  domicilio cuenta con un contrato de derechos de conexión celebrado entre la Junta Municipal de Agua Potable y Alcantarillado del Municipio de San Luis de la Paz, Guanajuato y la ciudadana </w:t>
      </w:r>
      <w:r>
        <w:rPr>
          <w:rFonts w:ascii="Arial" w:hAnsi="Arial" w:cs="Arial"/>
        </w:rPr>
        <w:t>**</w:t>
      </w:r>
      <w:r w:rsidRPr="0074705F">
        <w:rPr>
          <w:rFonts w:ascii="Arial" w:hAnsi="Arial" w:cs="Arial"/>
        </w:rPr>
        <w:t xml:space="preserve">, con número de cuenta </w:t>
      </w:r>
      <w:r>
        <w:rPr>
          <w:rFonts w:ascii="Arial" w:hAnsi="Arial" w:cs="Arial"/>
        </w:rPr>
        <w:t>**</w:t>
      </w:r>
      <w:r w:rsidRPr="0074705F">
        <w:rPr>
          <w:rFonts w:ascii="Arial" w:hAnsi="Arial" w:cs="Arial"/>
        </w:rPr>
        <w:t xml:space="preserve">. </w:t>
      </w:r>
    </w:p>
    <w:p w:rsidR="00AF75BC" w:rsidRPr="0074705F" w:rsidRDefault="00AF75BC" w:rsidP="00AF75BC">
      <w:pPr>
        <w:jc w:val="both"/>
        <w:rPr>
          <w:rFonts w:ascii="Arial" w:hAnsi="Arial" w:cs="Arial"/>
        </w:rPr>
      </w:pPr>
      <w:r w:rsidRPr="0074705F">
        <w:rPr>
          <w:rFonts w:ascii="Arial" w:hAnsi="Arial" w:cs="Arial"/>
        </w:rPr>
        <w:t xml:space="preserve">Por lo anterior, es evidente que la parte actora no tiene interés jurídico, tal como lo establece el artículo 9 párrafo segundo, 251  fracción I, inciso a),  del Código de Procedimiento y Justicia Administrativa para el Estado y los Municipios de Guanajuato,  robustece a lo anterior la siguiente tesis jurisprudencial.- </w:t>
      </w:r>
    </w:p>
    <w:p w:rsidR="00AF75BC" w:rsidRPr="0074705F" w:rsidRDefault="00AF75BC" w:rsidP="00AF75BC">
      <w:pPr>
        <w:jc w:val="both"/>
        <w:rPr>
          <w:rFonts w:ascii="Arial" w:hAnsi="Arial" w:cs="Arial"/>
          <w:i/>
        </w:rPr>
      </w:pPr>
      <w:r w:rsidRPr="0074705F">
        <w:rPr>
          <w:rFonts w:ascii="Arial" w:hAnsi="Arial" w:cs="Arial"/>
          <w:b/>
          <w:i/>
        </w:rPr>
        <w:t xml:space="preserve"> “INTERÉS JURÍDICO PARA LA PROCEDENCIA DEL AMPARO.-</w:t>
      </w:r>
      <w:r w:rsidRPr="0074705F">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AF75BC" w:rsidRPr="0074705F" w:rsidRDefault="00AF75BC" w:rsidP="00AF75BC">
      <w:pPr>
        <w:jc w:val="both"/>
        <w:rPr>
          <w:rFonts w:ascii="Arial" w:hAnsi="Arial" w:cs="Arial"/>
          <w:i/>
        </w:rPr>
      </w:pPr>
      <w:r w:rsidRPr="0074705F">
        <w:rPr>
          <w:rFonts w:ascii="Arial" w:hAnsi="Arial" w:cs="Arial"/>
          <w:b/>
          <w:i/>
        </w:rPr>
        <w:t xml:space="preserve"> “INTERÉS JURÍDICO. AGRAVIO DIRECTO DE UN DERECHO SUBJETIVO DEL ACTOR.-</w:t>
      </w:r>
      <w:r w:rsidRPr="0074705F">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AF75BC" w:rsidRPr="0074705F" w:rsidRDefault="00AF75BC" w:rsidP="00AF75BC">
      <w:pPr>
        <w:jc w:val="both"/>
        <w:rPr>
          <w:rFonts w:ascii="Arial" w:hAnsi="Arial" w:cs="Arial"/>
          <w:i/>
        </w:rPr>
      </w:pPr>
      <w:r w:rsidRPr="0074705F">
        <w:rPr>
          <w:rFonts w:ascii="Arial" w:hAnsi="Arial" w:cs="Arial"/>
          <w:b/>
          <w:i/>
        </w:rPr>
        <w:t>“INTERES JURIDICO. CONCEPTO.-</w:t>
      </w:r>
      <w:r w:rsidRPr="0074705F">
        <w:rPr>
          <w:rFonts w:ascii="Arial" w:hAnsi="Arial" w:cs="Arial"/>
          <w:i/>
        </w:rPr>
        <w:t xml:space="preserve"> En los artículos 54 primer párrafo, 57 </w:t>
      </w:r>
      <w:proofErr w:type="gramStart"/>
      <w:r w:rsidRPr="0074705F">
        <w:rPr>
          <w:rFonts w:ascii="Arial" w:hAnsi="Arial" w:cs="Arial"/>
          <w:i/>
        </w:rPr>
        <w:t>fracción</w:t>
      </w:r>
      <w:proofErr w:type="gramEnd"/>
      <w:r w:rsidRPr="0074705F">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AF75BC" w:rsidRPr="0074705F" w:rsidRDefault="00AF75BC" w:rsidP="00AF75BC">
      <w:pPr>
        <w:jc w:val="both"/>
        <w:rPr>
          <w:rFonts w:ascii="Arial" w:hAnsi="Arial" w:cs="Arial"/>
          <w:i/>
        </w:rPr>
      </w:pPr>
      <w:r w:rsidRPr="0074705F">
        <w:rPr>
          <w:rFonts w:ascii="Arial" w:hAnsi="Arial" w:cs="Arial"/>
          <w:i/>
        </w:rPr>
        <w:t>“</w:t>
      </w:r>
      <w:r w:rsidRPr="0074705F">
        <w:rPr>
          <w:rFonts w:ascii="Arial" w:hAnsi="Arial" w:cs="Arial"/>
          <w:b/>
          <w:i/>
        </w:rPr>
        <w:t>PERSONALIDAD EN EL AMPARO DE QUIENES LA TIENEN RECONOCIDA ANTE LA AUTORIDAD RESPONSABLE.-</w:t>
      </w:r>
      <w:r w:rsidRPr="0074705F">
        <w:rPr>
          <w:rFonts w:ascii="Arial" w:hAnsi="Arial" w:cs="Arial"/>
          <w:i/>
        </w:rPr>
        <w:t xml:space="preserve"> 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AF75BC" w:rsidRPr="0074705F" w:rsidRDefault="00AF75BC" w:rsidP="00AF75BC">
      <w:pPr>
        <w:jc w:val="both"/>
        <w:rPr>
          <w:rFonts w:ascii="Arial" w:hAnsi="Arial" w:cs="Arial"/>
        </w:rPr>
      </w:pPr>
      <w:r w:rsidRPr="0074705F">
        <w:rPr>
          <w:rFonts w:ascii="Arial" w:hAnsi="Arial" w:cs="Arial"/>
        </w:rPr>
        <w:t xml:space="preserve">El interés jurídico representa uno de los presupuestos básicos para la procedencia del proceso administrativo pues si el acto impugnado no lesiona la esfera jurídica del actor, no existe legitimación para demandar su nulidad, según se desprende del </w:t>
      </w:r>
      <w:r w:rsidRPr="0074705F">
        <w:rPr>
          <w:rFonts w:ascii="Arial" w:hAnsi="Arial" w:cs="Arial"/>
        </w:rPr>
        <w:lastRenderedPageBreak/>
        <w:t xml:space="preserve">artículo 261 fracción I, del Código de Procedimiento y Justicia Administrativa para el Estado y los Municipios de Guanajuato. </w:t>
      </w:r>
    </w:p>
    <w:p w:rsidR="00AF75BC" w:rsidRPr="0074705F" w:rsidRDefault="00AF75BC" w:rsidP="00AF75BC">
      <w:pPr>
        <w:jc w:val="both"/>
        <w:rPr>
          <w:rFonts w:ascii="Arial" w:hAnsi="Arial" w:cs="Arial"/>
        </w:rPr>
      </w:pPr>
      <w:r w:rsidRPr="0074705F">
        <w:rPr>
          <w:rFonts w:ascii="Arial" w:hAnsi="Arial" w:cs="Arial"/>
        </w:rPr>
        <w:t>Por ello, le corresponde al actor acreditar en forma fehaciente, que el acto de autoridad  combatido vulnera en su perjuicio un derecho subjetivo protegido por la norma jurídica; dicho en otro giro, que le causa un daño, perjuicio o menoscabo en sus derechos de manera directa.</w:t>
      </w:r>
    </w:p>
    <w:p w:rsidR="00AF75BC" w:rsidRPr="0074705F" w:rsidRDefault="00AF75BC" w:rsidP="00AF75BC">
      <w:pPr>
        <w:jc w:val="both"/>
        <w:rPr>
          <w:rFonts w:ascii="Arial" w:hAnsi="Arial" w:cs="Arial"/>
        </w:rPr>
      </w:pPr>
      <w:r w:rsidRPr="0074705F">
        <w:rPr>
          <w:rFonts w:ascii="Arial" w:hAnsi="Arial" w:cs="Arial"/>
        </w:rPr>
        <w:t xml:space="preserve">De tal manera que, si esta circunstancia no se encuentra plenamente acreditada, la demanda en el proceso administrativo resultará improcedente. </w:t>
      </w:r>
    </w:p>
    <w:p w:rsidR="00AF75BC" w:rsidRPr="0074705F" w:rsidRDefault="00AF75BC" w:rsidP="00AF75BC">
      <w:pPr>
        <w:jc w:val="both"/>
        <w:rPr>
          <w:rFonts w:ascii="Arial" w:hAnsi="Arial" w:cs="Arial"/>
        </w:rPr>
      </w:pPr>
      <w:r w:rsidRPr="0074705F">
        <w:rPr>
          <w:rFonts w:ascii="Arial" w:hAnsi="Arial" w:cs="Arial"/>
        </w:rPr>
        <w:t>Sirve de apoyo a lo anterior y aplicable por analogía, la jurisprudencia número VI. 2º, J/87 sustentada por el Segundo Tribunal Colegiado del Sexto Circuito, Octava Época y publicada en la página 364 del Semanario Judicial de la Federación y su Gaceta, Tomo VI, Segunda Parte-1, Julio a Diciembre de 1990, que dice:</w:t>
      </w:r>
    </w:p>
    <w:p w:rsidR="00AF75BC" w:rsidRPr="0074705F" w:rsidRDefault="00AF75BC" w:rsidP="00AF75BC">
      <w:pPr>
        <w:jc w:val="both"/>
        <w:rPr>
          <w:rFonts w:ascii="Arial" w:hAnsi="Arial" w:cs="Arial"/>
          <w:i/>
        </w:rPr>
      </w:pPr>
      <w:r w:rsidRPr="0074705F">
        <w:rPr>
          <w:rFonts w:ascii="Arial" w:hAnsi="Arial" w:cs="Arial"/>
          <w:i/>
        </w:rPr>
        <w:t xml:space="preserve">INTERES JURIDICO. EN QUE CONSISTE. 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 </w:t>
      </w:r>
    </w:p>
    <w:p w:rsidR="00AF75BC" w:rsidRPr="0074705F" w:rsidRDefault="00AF75BC" w:rsidP="00AF75BC">
      <w:pPr>
        <w:jc w:val="both"/>
        <w:rPr>
          <w:rFonts w:ascii="Arial" w:hAnsi="Arial" w:cs="Arial"/>
        </w:rPr>
      </w:pPr>
      <w:r w:rsidRPr="0074705F">
        <w:rPr>
          <w:rFonts w:ascii="Arial" w:hAnsi="Arial" w:cs="Arial"/>
        </w:rPr>
        <w:t>Del mismo modo, resulta aplicable la jurisprudencia número 1ª</w:t>
      </w:r>
      <w:proofErr w:type="gramStart"/>
      <w:r w:rsidRPr="0074705F">
        <w:rPr>
          <w:rFonts w:ascii="Arial" w:hAnsi="Arial" w:cs="Arial"/>
        </w:rPr>
        <w:t>./</w:t>
      </w:r>
      <w:proofErr w:type="gramEnd"/>
      <w:r w:rsidRPr="0074705F">
        <w:rPr>
          <w:rFonts w:ascii="Arial" w:hAnsi="Arial" w:cs="Arial"/>
        </w:rPr>
        <w:t>J. 168/2007 de la Primera Sala de la Suprema Corte de Justicia de la Nación,  y publicada en la página 225 del Semanario Judicial de la Federación y su Gaceta, Novena Época, Tomo XXVII, Enero de 2008, que dice:</w:t>
      </w:r>
    </w:p>
    <w:p w:rsidR="00AF75BC" w:rsidRPr="0074705F" w:rsidRDefault="00AF75BC" w:rsidP="00AF75BC">
      <w:pPr>
        <w:jc w:val="both"/>
        <w:rPr>
          <w:rFonts w:ascii="Arial" w:hAnsi="Arial" w:cs="Arial"/>
          <w:i/>
        </w:rPr>
      </w:pPr>
      <w:r w:rsidRPr="0074705F">
        <w:rPr>
          <w:rFonts w:ascii="Arial" w:hAnsi="Arial" w:cs="Arial"/>
          <w:i/>
        </w:rPr>
        <w:t xml:space="preserve">INTERÉS JURÍDICO EN EL AMPARO. ELEMENTOS CONSTITUTIVOS. El artículo 4º. De la Ley de Amparo contempla para la procedencia del juicio de garantías, que el acto reclamado cause un perjuicio a la persona física o moral que se estime afectada, lo que ocurre cuando ese acto lesiona sus intereses jurídicos, en su persona o en su patrimonio, y que de manera concomitante es lo que provoca la génesis de la acción constitucional. Así, como la tutela del derecho sólo comprende a bienes jurídicos reales y objetivos, las afectaciones deben ser igualmente ser susceptibles de apreciar en forma objetiva para que puedan constituir un perjuicio, teniendo en cuenta que el interés jurídico debe acreditarse en forma fehaciente y no inferirse con base en presunciones; de modo que la naturaleza intrínseca de ese acto o ley reclamados es la que determina el perjuicio o la afectación en la esfera normativa del particular, sin que pueda hablarse entonces de agravio cuando los daños o perjuicios que una persona puede sufrir, no afecten real y efectivamente sus bienes jurídicamente amparados.                                                                                                                                                                                                                                                                                                                                                                            </w:t>
      </w:r>
    </w:p>
    <w:p w:rsidR="00AF75BC" w:rsidRPr="0074705F" w:rsidRDefault="00AF75BC" w:rsidP="00AF75BC">
      <w:pPr>
        <w:jc w:val="both"/>
        <w:rPr>
          <w:rFonts w:ascii="Arial" w:hAnsi="Arial" w:cs="Arial"/>
        </w:rPr>
      </w:pPr>
      <w:r w:rsidRPr="0074705F">
        <w:rPr>
          <w:rFonts w:ascii="Arial" w:hAnsi="Arial" w:cs="Arial"/>
        </w:rPr>
        <w:t xml:space="preserve">Además, las exigencias para acreditar el interés jurídico, como presupuesto del proceso administrativo, no deben atenderse desde una perspectiva abstracta o genérica y en relación con cualquier tipo de derecho de manera indiscriminada, sino en función al derecho afectado de acuerdo con la naturaleza y peculiaridad del acto impugnado y a la materia normativa del contexto en que se genere. </w:t>
      </w:r>
    </w:p>
    <w:p w:rsidR="00AF75BC" w:rsidRPr="0074705F" w:rsidRDefault="00AF75BC" w:rsidP="00AF75BC">
      <w:pPr>
        <w:jc w:val="both"/>
        <w:rPr>
          <w:rFonts w:ascii="Arial" w:hAnsi="Arial" w:cs="Arial"/>
        </w:rPr>
      </w:pPr>
      <w:r w:rsidRPr="0074705F">
        <w:rPr>
          <w:rFonts w:ascii="Arial" w:hAnsi="Arial" w:cs="Arial"/>
        </w:rPr>
        <w:t>En el caso, la ciudadana Josefina González, promovió el proceso administrativo que nos ocupa,  en contra de Junta Municipal de Agua Potable y Alcantarillado de San Luis de la  Paz, Guanajuato  (JAPASP).</w:t>
      </w:r>
    </w:p>
    <w:p w:rsidR="00AF75BC" w:rsidRPr="0074705F" w:rsidRDefault="00AF75BC" w:rsidP="00AF75BC">
      <w:pPr>
        <w:jc w:val="both"/>
        <w:rPr>
          <w:rFonts w:ascii="Arial" w:hAnsi="Arial" w:cs="Arial"/>
        </w:rPr>
      </w:pPr>
      <w:r w:rsidRPr="0074705F">
        <w:rPr>
          <w:rFonts w:ascii="Arial" w:hAnsi="Arial" w:cs="Arial"/>
        </w:rPr>
        <w:t xml:space="preserve">Ahora bien, del análisis realizado a las constancias que componen al proceso de origen, se desprende que el actor no ofreció elemento de prueba alguno que se acreditara su calidad de propietario o poseedor del inmueble. </w:t>
      </w:r>
    </w:p>
    <w:p w:rsidR="00AF75BC" w:rsidRPr="0074705F" w:rsidRDefault="00AF75BC" w:rsidP="00AF75BC">
      <w:pPr>
        <w:jc w:val="both"/>
        <w:rPr>
          <w:rFonts w:ascii="Arial" w:hAnsi="Arial" w:cs="Arial"/>
        </w:rPr>
      </w:pPr>
      <w:r w:rsidRPr="0074705F">
        <w:rPr>
          <w:rFonts w:ascii="Arial" w:hAnsi="Arial" w:cs="Arial"/>
        </w:rPr>
        <w:lastRenderedPageBreak/>
        <w:t xml:space="preserve">El Reglamento del Organismo Público Descentralizado Denominado Junta Municipal de Agua Potable  y Alcantarillado del Municipio de San Luis de la Paz, en sus artículos 30, 31, 48, 49, 58 fracción I, 59, 62 y 64, establecen:  </w:t>
      </w:r>
    </w:p>
    <w:p w:rsidR="00AF75BC" w:rsidRPr="0074705F" w:rsidRDefault="00AF75BC" w:rsidP="00AF75BC">
      <w:pPr>
        <w:jc w:val="both"/>
        <w:rPr>
          <w:rFonts w:ascii="Arial" w:eastAsia="Times New Roman" w:hAnsi="Arial" w:cs="Arial"/>
          <w:lang w:eastAsia="es-ES"/>
        </w:rPr>
      </w:pPr>
      <w:r w:rsidRPr="0074705F">
        <w:rPr>
          <w:rFonts w:ascii="Arial" w:eastAsia="Times New Roman" w:hAnsi="Arial" w:cs="Arial"/>
          <w:lang w:eastAsia="es-ES"/>
        </w:rPr>
        <w:t>Artículo 30. Podrán contratar los servicios de agua potable y alcantarillado, en su caso el suministro de aguas residuales tratadas en los lugares en que existan dichos servicios:</w:t>
      </w:r>
    </w:p>
    <w:p w:rsidR="00AF75BC" w:rsidRPr="0074705F" w:rsidRDefault="00AF75BC" w:rsidP="00AF75BC">
      <w:pPr>
        <w:pStyle w:val="Prrafodelista"/>
        <w:numPr>
          <w:ilvl w:val="0"/>
          <w:numId w:val="1"/>
        </w:numPr>
        <w:jc w:val="both"/>
        <w:rPr>
          <w:rFonts w:ascii="Arial" w:eastAsia="Times New Roman" w:hAnsi="Arial" w:cs="Arial"/>
          <w:lang w:eastAsia="es-ES"/>
        </w:rPr>
      </w:pPr>
      <w:r w:rsidRPr="0074705F">
        <w:rPr>
          <w:rFonts w:ascii="Arial" w:eastAsia="Times New Roman" w:hAnsi="Arial" w:cs="Arial"/>
          <w:lang w:eastAsia="es-ES"/>
        </w:rPr>
        <w:t>Los propietarios o poseedores a cualquier título de predios destinados para uso habitacional;</w:t>
      </w:r>
    </w:p>
    <w:p w:rsidR="00AF75BC" w:rsidRPr="0074705F" w:rsidRDefault="00AF75BC" w:rsidP="00AF75BC">
      <w:pPr>
        <w:pStyle w:val="Prrafodelista"/>
        <w:numPr>
          <w:ilvl w:val="0"/>
          <w:numId w:val="1"/>
        </w:numPr>
        <w:jc w:val="both"/>
        <w:rPr>
          <w:rFonts w:ascii="Arial" w:eastAsia="Times New Roman" w:hAnsi="Arial" w:cs="Arial"/>
          <w:lang w:eastAsia="es-ES"/>
        </w:rPr>
      </w:pPr>
      <w:r w:rsidRPr="0074705F">
        <w:rPr>
          <w:rFonts w:ascii="Arial" w:eastAsia="Times New Roman" w:hAnsi="Arial" w:cs="Arial"/>
          <w:lang w:eastAsia="es-ES"/>
        </w:rPr>
        <w:t xml:space="preserve"> Los propietarios o poseedores a cualquier título de predios edificados cuando por el frente de los mismos existan instalaciones adecuadas para prestar los servicios; y </w:t>
      </w:r>
    </w:p>
    <w:p w:rsidR="00AF75BC" w:rsidRPr="0074705F" w:rsidRDefault="00AF75BC" w:rsidP="00AF75BC">
      <w:pPr>
        <w:pStyle w:val="Prrafodelista"/>
        <w:numPr>
          <w:ilvl w:val="0"/>
          <w:numId w:val="1"/>
        </w:numPr>
        <w:jc w:val="both"/>
        <w:rPr>
          <w:rFonts w:ascii="Arial" w:eastAsia="Times New Roman" w:hAnsi="Arial" w:cs="Arial"/>
          <w:lang w:eastAsia="es-ES"/>
        </w:rPr>
      </w:pPr>
      <w:r w:rsidRPr="0074705F">
        <w:rPr>
          <w:rFonts w:ascii="Arial" w:eastAsia="Times New Roman" w:hAnsi="Arial" w:cs="Arial"/>
          <w:lang w:eastAsia="es-ES"/>
        </w:rPr>
        <w:t xml:space="preserve">Los propietarios o poseedores de predios destinados a giros comerciales industriales o de cualquier otra actividad que por su naturaleza estén obligados al uso de agua potable y alcantarillado. Artículo 31. </w:t>
      </w:r>
    </w:p>
    <w:p w:rsidR="00AF75BC" w:rsidRPr="0074705F" w:rsidRDefault="00AF75BC" w:rsidP="00AF75BC">
      <w:pPr>
        <w:jc w:val="both"/>
        <w:rPr>
          <w:rFonts w:ascii="Arial" w:eastAsia="Times New Roman" w:hAnsi="Arial" w:cs="Arial"/>
          <w:lang w:eastAsia="es-ES"/>
        </w:rPr>
      </w:pPr>
      <w:r w:rsidRPr="0074705F">
        <w:rPr>
          <w:rFonts w:ascii="Arial" w:eastAsia="Times New Roman" w:hAnsi="Arial" w:cs="Arial"/>
          <w:lang w:eastAsia="es-ES"/>
        </w:rPr>
        <w:t xml:space="preserve">Los propietarios o poseedores de predios a que se refiere el Artículo anterior, deberán solicitar la instalación de </w:t>
      </w:r>
      <w:proofErr w:type="gramStart"/>
      <w:r w:rsidRPr="0074705F">
        <w:rPr>
          <w:rFonts w:ascii="Arial" w:eastAsia="Times New Roman" w:hAnsi="Arial" w:cs="Arial"/>
          <w:lang w:eastAsia="es-ES"/>
        </w:rPr>
        <w:t>sus tomas respectivas</w:t>
      </w:r>
      <w:proofErr w:type="gramEnd"/>
      <w:r w:rsidRPr="0074705F">
        <w:rPr>
          <w:rFonts w:ascii="Arial" w:eastAsia="Times New Roman" w:hAnsi="Arial" w:cs="Arial"/>
          <w:lang w:eastAsia="es-ES"/>
        </w:rPr>
        <w:t>, su conexión y suscribir el contrato dentro de los términos siguientes:</w:t>
      </w:r>
    </w:p>
    <w:p w:rsidR="00AF75BC" w:rsidRPr="0074705F" w:rsidRDefault="00AF75BC" w:rsidP="00AF75BC">
      <w:pPr>
        <w:pStyle w:val="Prrafodelista"/>
        <w:numPr>
          <w:ilvl w:val="0"/>
          <w:numId w:val="2"/>
        </w:numPr>
        <w:jc w:val="both"/>
        <w:rPr>
          <w:rFonts w:ascii="Arial" w:eastAsia="Times New Roman" w:hAnsi="Arial" w:cs="Arial"/>
          <w:lang w:eastAsia="es-ES"/>
        </w:rPr>
      </w:pPr>
      <w:r w:rsidRPr="0074705F">
        <w:rPr>
          <w:rFonts w:ascii="Arial" w:eastAsia="Times New Roman" w:hAnsi="Arial" w:cs="Arial"/>
          <w:lang w:eastAsia="es-ES"/>
        </w:rPr>
        <w:t>De 30 días siguientes a la fecha en que se notifique al propietario o poseedor de un predio ya construido, que ha quedado establecido el servicio público en la calle en que se encuentre ubicado;</w:t>
      </w:r>
    </w:p>
    <w:p w:rsidR="00AF75BC" w:rsidRPr="0074705F" w:rsidRDefault="00AF75BC" w:rsidP="00AF75BC">
      <w:pPr>
        <w:pStyle w:val="Prrafodelista"/>
        <w:numPr>
          <w:ilvl w:val="0"/>
          <w:numId w:val="2"/>
        </w:numPr>
        <w:jc w:val="both"/>
        <w:rPr>
          <w:rFonts w:ascii="Arial" w:eastAsia="Times New Roman" w:hAnsi="Arial" w:cs="Arial"/>
          <w:lang w:eastAsia="es-ES"/>
        </w:rPr>
      </w:pPr>
      <w:r w:rsidRPr="0074705F">
        <w:rPr>
          <w:rFonts w:ascii="Arial" w:eastAsia="Times New Roman" w:hAnsi="Arial" w:cs="Arial"/>
          <w:lang w:eastAsia="es-ES"/>
        </w:rPr>
        <w:t xml:space="preserve">De 30 días contados a partir de la fecha en que se adquiera la propiedad o posesión del predio ya construido; </w:t>
      </w:r>
    </w:p>
    <w:p w:rsidR="00AF75BC" w:rsidRPr="0074705F" w:rsidRDefault="00AF75BC" w:rsidP="00AF75BC">
      <w:pPr>
        <w:pStyle w:val="Prrafodelista"/>
        <w:numPr>
          <w:ilvl w:val="0"/>
          <w:numId w:val="2"/>
        </w:numPr>
        <w:jc w:val="both"/>
        <w:rPr>
          <w:rFonts w:ascii="Arial" w:eastAsia="Times New Roman" w:hAnsi="Arial" w:cs="Arial"/>
          <w:lang w:eastAsia="es-ES"/>
        </w:rPr>
      </w:pPr>
      <w:r w:rsidRPr="0074705F">
        <w:rPr>
          <w:rFonts w:ascii="Arial" w:eastAsia="Times New Roman" w:hAnsi="Arial" w:cs="Arial"/>
          <w:lang w:eastAsia="es-ES"/>
        </w:rPr>
        <w:t xml:space="preserve">De 30 días contados a partir de la fecha de apertura del giro comercial o establecimiento industrial; y </w:t>
      </w:r>
    </w:p>
    <w:p w:rsidR="00AF75BC" w:rsidRPr="0074705F" w:rsidRDefault="00AF75BC" w:rsidP="00AF75BC">
      <w:pPr>
        <w:pStyle w:val="Prrafodelista"/>
        <w:numPr>
          <w:ilvl w:val="0"/>
          <w:numId w:val="2"/>
        </w:numPr>
        <w:jc w:val="both"/>
        <w:rPr>
          <w:rFonts w:ascii="Arial" w:eastAsia="Times New Roman" w:hAnsi="Arial" w:cs="Arial"/>
          <w:lang w:eastAsia="es-ES"/>
        </w:rPr>
      </w:pPr>
      <w:r w:rsidRPr="0074705F">
        <w:rPr>
          <w:rFonts w:ascii="Arial" w:eastAsia="Times New Roman" w:hAnsi="Arial" w:cs="Arial"/>
          <w:lang w:eastAsia="es-ES"/>
        </w:rPr>
        <w:t>Al inicio de una construcción</w:t>
      </w:r>
    </w:p>
    <w:p w:rsidR="00AF75BC" w:rsidRPr="0074705F" w:rsidRDefault="00AF75BC" w:rsidP="00AF75BC">
      <w:pPr>
        <w:jc w:val="both"/>
        <w:rPr>
          <w:rFonts w:ascii="Arial" w:hAnsi="Arial" w:cs="Arial"/>
        </w:rPr>
      </w:pPr>
      <w:r w:rsidRPr="0074705F">
        <w:rPr>
          <w:rFonts w:ascii="Arial" w:hAnsi="Arial" w:cs="Arial"/>
        </w:rPr>
        <w:t xml:space="preserve">Artículo 58. Las contribuciones que deberán cubrir los usuarios por la prestación de los servicios, se clasifican de manera enunciativa, más no limitativa, según el servicio de que se trate: </w:t>
      </w:r>
    </w:p>
    <w:p w:rsidR="00AF75BC" w:rsidRPr="0074705F" w:rsidRDefault="00AF75BC" w:rsidP="00AF75BC">
      <w:pPr>
        <w:jc w:val="both"/>
        <w:rPr>
          <w:rFonts w:ascii="Arial" w:hAnsi="Arial" w:cs="Arial"/>
        </w:rPr>
      </w:pPr>
      <w:r w:rsidRPr="0074705F">
        <w:rPr>
          <w:rFonts w:ascii="Arial" w:hAnsi="Arial" w:cs="Arial"/>
        </w:rPr>
        <w:t>I. Conexión y suministro de agua potable;</w:t>
      </w:r>
    </w:p>
    <w:p w:rsidR="00AF75BC" w:rsidRPr="0074705F" w:rsidRDefault="00AF75BC" w:rsidP="00AF75BC">
      <w:pPr>
        <w:jc w:val="both"/>
        <w:rPr>
          <w:rFonts w:ascii="Arial" w:eastAsia="Times New Roman" w:hAnsi="Arial" w:cs="Arial"/>
          <w:lang w:eastAsia="es-ES"/>
        </w:rPr>
      </w:pPr>
      <w:r w:rsidRPr="0074705F">
        <w:rPr>
          <w:rFonts w:ascii="Arial" w:hAnsi="Arial" w:cs="Arial"/>
        </w:rPr>
        <w:t>Artículo 59. El Organismo Operador expedirá estados de cuenta correspondientes para que el usuario cubra los costos por los servicios, en los que se deberá especificar el plazo para su vencimiento.</w:t>
      </w:r>
    </w:p>
    <w:p w:rsidR="00AF75BC" w:rsidRPr="0074705F" w:rsidRDefault="00AF75BC" w:rsidP="00AF75BC">
      <w:pPr>
        <w:jc w:val="both"/>
        <w:rPr>
          <w:rFonts w:ascii="Arial" w:hAnsi="Arial" w:cs="Arial"/>
        </w:rPr>
      </w:pPr>
      <w:r w:rsidRPr="0074705F">
        <w:rPr>
          <w:rFonts w:ascii="Arial" w:hAnsi="Arial" w:cs="Arial"/>
        </w:rPr>
        <w:t>Artículo 62. En caso de que no se cubran los créditos a favor del Organismo Operador a su vencimiento, este implementará los mecanismos que considere pertinentes para su pago. Los adeudos a cargo de los usuarios tendrán el carácter de créditos fiscales.</w:t>
      </w:r>
    </w:p>
    <w:p w:rsidR="00AF75BC" w:rsidRDefault="00AF75BC" w:rsidP="00AF75BC">
      <w:pPr>
        <w:jc w:val="both"/>
        <w:rPr>
          <w:rFonts w:ascii="Arial" w:hAnsi="Arial" w:cs="Arial"/>
        </w:rPr>
      </w:pPr>
      <w:r w:rsidRPr="0074705F">
        <w:rPr>
          <w:rFonts w:ascii="Arial" w:hAnsi="Arial" w:cs="Arial"/>
        </w:rPr>
        <w:t>Artículo 64. En caso de que el nuevo plazo otorgado para su finiquito se haya vencido, el Organismo Operador, podrá impl</w:t>
      </w:r>
      <w:r>
        <w:rPr>
          <w:rFonts w:ascii="Arial" w:hAnsi="Arial" w:cs="Arial"/>
        </w:rPr>
        <w:t>ementar las siguientes acciones</w:t>
      </w:r>
    </w:p>
    <w:p w:rsidR="00AF75BC" w:rsidRPr="0074705F" w:rsidRDefault="00AF75BC" w:rsidP="00AF75BC">
      <w:pPr>
        <w:jc w:val="both"/>
        <w:rPr>
          <w:rFonts w:ascii="Arial" w:hAnsi="Arial" w:cs="Arial"/>
        </w:rPr>
      </w:pPr>
    </w:p>
    <w:p w:rsidR="00AF75BC" w:rsidRPr="0074705F" w:rsidRDefault="00AF75BC" w:rsidP="00AF75BC">
      <w:pPr>
        <w:pStyle w:val="Prrafodelista"/>
        <w:numPr>
          <w:ilvl w:val="0"/>
          <w:numId w:val="3"/>
        </w:numPr>
        <w:jc w:val="both"/>
        <w:rPr>
          <w:rFonts w:ascii="Arial" w:eastAsia="Times New Roman" w:hAnsi="Arial" w:cs="Arial"/>
          <w:lang w:eastAsia="es-ES"/>
        </w:rPr>
      </w:pPr>
      <w:r w:rsidRPr="0074705F">
        <w:rPr>
          <w:rFonts w:ascii="Arial" w:hAnsi="Arial" w:cs="Arial"/>
        </w:rPr>
        <w:t>Rescisión administrativa del contrato, con la subsecuente de los servicios, debiendo indicar al usuario la fuente de abastecimiento para que se provea del líquido, pero correrá a su cargo el traslado hasta su domicilio</w:t>
      </w:r>
    </w:p>
    <w:p w:rsidR="00AF75BC" w:rsidRPr="0074705F" w:rsidRDefault="00AF75BC" w:rsidP="00AF75BC">
      <w:pPr>
        <w:pStyle w:val="Prrafodelista"/>
        <w:numPr>
          <w:ilvl w:val="0"/>
          <w:numId w:val="3"/>
        </w:numPr>
        <w:jc w:val="both"/>
        <w:rPr>
          <w:rFonts w:ascii="Arial" w:eastAsia="Times New Roman" w:hAnsi="Arial" w:cs="Arial"/>
          <w:lang w:eastAsia="es-ES"/>
        </w:rPr>
      </w:pPr>
      <w:r w:rsidRPr="0074705F">
        <w:rPr>
          <w:rFonts w:ascii="Arial" w:hAnsi="Arial" w:cs="Arial"/>
        </w:rPr>
        <w:t xml:space="preserve">Reducir al usuario moroso la administración del servicio; </w:t>
      </w:r>
    </w:p>
    <w:p w:rsidR="00AF75BC" w:rsidRPr="0074705F" w:rsidRDefault="00AF75BC" w:rsidP="00AF75BC">
      <w:pPr>
        <w:pStyle w:val="Prrafodelista"/>
        <w:numPr>
          <w:ilvl w:val="0"/>
          <w:numId w:val="3"/>
        </w:numPr>
        <w:jc w:val="both"/>
        <w:rPr>
          <w:rFonts w:ascii="Arial" w:eastAsia="Times New Roman" w:hAnsi="Arial" w:cs="Arial"/>
          <w:lang w:eastAsia="es-ES"/>
        </w:rPr>
      </w:pPr>
      <w:r w:rsidRPr="0074705F">
        <w:rPr>
          <w:rFonts w:ascii="Arial" w:hAnsi="Arial" w:cs="Arial"/>
        </w:rPr>
        <w:t xml:space="preserve">Hacer uso del procedimiento administrativo de ejecución que establece la Ley de Hacienda para los Municipios del Estado de Guanajuato; y </w:t>
      </w:r>
    </w:p>
    <w:p w:rsidR="00AF75BC" w:rsidRPr="0074705F" w:rsidRDefault="00AF75BC" w:rsidP="00AF75BC">
      <w:pPr>
        <w:pStyle w:val="Prrafodelista"/>
        <w:numPr>
          <w:ilvl w:val="0"/>
          <w:numId w:val="3"/>
        </w:numPr>
        <w:jc w:val="both"/>
        <w:rPr>
          <w:rFonts w:ascii="Arial" w:eastAsia="Times New Roman" w:hAnsi="Arial" w:cs="Arial"/>
          <w:lang w:eastAsia="es-ES"/>
        </w:rPr>
      </w:pPr>
      <w:r w:rsidRPr="0074705F">
        <w:rPr>
          <w:rFonts w:ascii="Arial" w:hAnsi="Arial" w:cs="Arial"/>
        </w:rPr>
        <w:t>Denuncia y/o querella, en caso de la comisión de un delito.</w:t>
      </w:r>
    </w:p>
    <w:p w:rsidR="00AF75BC" w:rsidRPr="0074705F" w:rsidRDefault="00AF75BC" w:rsidP="00AF75BC">
      <w:pPr>
        <w:jc w:val="both"/>
        <w:rPr>
          <w:rFonts w:ascii="Arial" w:hAnsi="Arial" w:cs="Arial"/>
        </w:rPr>
      </w:pPr>
      <w:r w:rsidRPr="0074705F">
        <w:rPr>
          <w:rFonts w:ascii="Arial" w:hAnsi="Arial" w:cs="Arial"/>
        </w:rPr>
        <w:t xml:space="preserve">De los preceptos transcritos se desprende, por un lado, que los usuarios son los propietarios o poseedores de predios destinados para el uso habitacional o bien, giros comerciales, industriales, etcétera, que contratan la prestación de los servicios a cargo de la Junta Municipal de Agua Potable y Alcantarillado en el Municipio de San </w:t>
      </w:r>
      <w:r w:rsidRPr="0074705F">
        <w:rPr>
          <w:rFonts w:ascii="Arial" w:hAnsi="Arial" w:cs="Arial"/>
        </w:rPr>
        <w:lastRenderedPageBreak/>
        <w:t>Luis de la Paz, (JAPASP),  y,  por otro, que la obligación de pago por tales servicios, corresponde también al propietario o poseedor del bien inmueble.</w:t>
      </w:r>
    </w:p>
    <w:p w:rsidR="00AF75BC" w:rsidRPr="0074705F" w:rsidRDefault="00AF75BC" w:rsidP="00AF75BC">
      <w:pPr>
        <w:jc w:val="both"/>
        <w:rPr>
          <w:rFonts w:ascii="Arial" w:hAnsi="Arial" w:cs="Arial"/>
        </w:rPr>
      </w:pPr>
      <w:r w:rsidRPr="0074705F">
        <w:rPr>
          <w:rFonts w:ascii="Arial" w:hAnsi="Arial" w:cs="Arial"/>
        </w:rPr>
        <w:t xml:space="preserve">Además, se aprecia que en los casos en que la propiedad de un inmueble se transfiera con sus servicios, el nuevo propietario se subrogará en los derechos y obligaciones derivados del contrato anterior, para lo cual deberá dar aviso al organismo operador. </w:t>
      </w:r>
    </w:p>
    <w:p w:rsidR="00AF75BC" w:rsidRPr="0074705F" w:rsidRDefault="00AF75BC" w:rsidP="00AF75BC">
      <w:pPr>
        <w:jc w:val="both"/>
        <w:rPr>
          <w:rFonts w:ascii="Arial" w:hAnsi="Arial" w:cs="Arial"/>
        </w:rPr>
      </w:pPr>
      <w:r w:rsidRPr="0074705F">
        <w:rPr>
          <w:rFonts w:ascii="Arial" w:hAnsi="Arial" w:cs="Arial"/>
        </w:rPr>
        <w:t>Sobre tales premisas, se tiene que quienes ostentan la calidad de usuarios, es decir, los propietarios o poseedores del inmueble tienen la facultad o potestad de exigencia oponible al sistema municipal para reclamar actos relacionados con la prestación de los servicios a cargo de la Junta Municipal de Agua Potable y Alcantarillado, y su cobro.</w:t>
      </w:r>
    </w:p>
    <w:p w:rsidR="00AF75BC" w:rsidRPr="0074705F" w:rsidRDefault="00AF75BC" w:rsidP="00AF75BC">
      <w:pPr>
        <w:jc w:val="both"/>
        <w:rPr>
          <w:rFonts w:ascii="Arial" w:hAnsi="Arial" w:cs="Arial"/>
        </w:rPr>
      </w:pPr>
      <w:r w:rsidRPr="0074705F">
        <w:rPr>
          <w:rFonts w:ascii="Arial" w:hAnsi="Arial" w:cs="Arial"/>
        </w:rPr>
        <w:t xml:space="preserve">Así pues, en el caso, a fin de acreditar el interés jurídico para controvertir la legalidad del oficio DG-0023/2020, de fecha 15 quince de enero de 2020 dos mil veinte,  la ahora recurrente debía acreditar: a) Que contrató la prestación de los servicios a cargo de la Junta Municipal de Agua Potable y Alcantarillado de esta ciudad, es decir, que tiene la calidad de cliente; o bien, b) que es propietario o poseedor del inmueble. </w:t>
      </w:r>
    </w:p>
    <w:p w:rsidR="00AF75BC" w:rsidRPr="0074705F" w:rsidRDefault="00AF75BC" w:rsidP="00AF75BC">
      <w:pPr>
        <w:jc w:val="both"/>
        <w:rPr>
          <w:rFonts w:ascii="Arial" w:hAnsi="Arial" w:cs="Arial"/>
        </w:rPr>
      </w:pPr>
      <w:r w:rsidRPr="0074705F">
        <w:rPr>
          <w:rFonts w:ascii="Arial" w:hAnsi="Arial" w:cs="Arial"/>
        </w:rPr>
        <w:t xml:space="preserve">Empero, del análisis a las constancias de este proceso, se advierte que no existe elemento probatorio alguno del que se desprenda que sea propietaria o poseedora del inmueble, es decir, el carácter de usuario. </w:t>
      </w:r>
    </w:p>
    <w:p w:rsidR="00AF75BC" w:rsidRPr="0074705F" w:rsidRDefault="00AF75BC" w:rsidP="00AF75BC">
      <w:pPr>
        <w:jc w:val="both"/>
        <w:rPr>
          <w:rFonts w:ascii="Arial" w:hAnsi="Arial" w:cs="Arial"/>
        </w:rPr>
      </w:pPr>
      <w:r w:rsidRPr="0074705F">
        <w:rPr>
          <w:rFonts w:ascii="Arial" w:hAnsi="Arial" w:cs="Arial"/>
        </w:rPr>
        <w:t>Luego, si no se demostró que la actora es usuaria o poseedora, entonces, no cuenta con un derecho subjetivo previamente establecido que haya sido transgredido con el acto impugnado. Por lo tanto, como el ahora recurrente no acreditó en el proceso que el acto impugnado vulnera en su perjuicio un derecho subjetivo protegido por alguna norma jurídica, entonces, carece de interés jurídico para instar el proceso administrativo en contra del oficio numero  DG-0023/2020, de fecha 15 quince de enero de 2020 dos mil veinte.</w:t>
      </w:r>
    </w:p>
    <w:p w:rsidR="00AF75BC" w:rsidRPr="0074705F" w:rsidRDefault="00AF75BC" w:rsidP="00AF75BC">
      <w:pPr>
        <w:jc w:val="both"/>
        <w:rPr>
          <w:rFonts w:ascii="Arial" w:hAnsi="Arial" w:cs="Arial"/>
        </w:rPr>
      </w:pPr>
      <w:r w:rsidRPr="0074705F">
        <w:rPr>
          <w:rFonts w:ascii="Arial" w:hAnsi="Arial" w:cs="Arial"/>
        </w:rPr>
        <w:t>De lo anterior se colige, que se debe de sobreseer el presente proceso, toda vez que, como se precisó el acto no tiene interés jurídico,  lo anterior de conformidad con lo señalado por el artículo 261 fracción I, y artículo 262 fracción II del Código de la materia.-----</w:t>
      </w:r>
      <w:r>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TERCERO.-</w:t>
      </w:r>
      <w:r w:rsidRPr="0074705F">
        <w:rPr>
          <w:rFonts w:ascii="Arial" w:hAnsi="Arial" w:cs="Arial"/>
        </w:rPr>
        <w:t xml:space="preserve"> Con base en todo lo expuesto, se declara el </w:t>
      </w:r>
      <w:r w:rsidRPr="0074705F">
        <w:rPr>
          <w:rFonts w:ascii="Arial" w:hAnsi="Arial" w:cs="Arial"/>
          <w:b/>
        </w:rPr>
        <w:t xml:space="preserve">SOBRESEIMIENTO </w:t>
      </w:r>
      <w:r w:rsidRPr="0074705F">
        <w:rPr>
          <w:rFonts w:ascii="Arial" w:hAnsi="Arial" w:cs="Arial"/>
        </w:rPr>
        <w:t xml:space="preserve"> del presente proceso,  en virtud de que se actualiza lo señalado por la fracción I del artículo 261 y  la  fracción II del artículo 262 del Código  que regula esta materia.----</w:t>
      </w:r>
      <w:r>
        <w:rPr>
          <w:rFonts w:ascii="Arial" w:hAnsi="Arial" w:cs="Arial"/>
        </w:rPr>
        <w:t>-</w:t>
      </w:r>
    </w:p>
    <w:p w:rsidR="00AF75BC" w:rsidRPr="0074705F" w:rsidRDefault="00AF75BC" w:rsidP="00AF75BC">
      <w:pPr>
        <w:jc w:val="both"/>
        <w:rPr>
          <w:rFonts w:ascii="Arial" w:hAnsi="Arial" w:cs="Arial"/>
          <w:i/>
        </w:rPr>
      </w:pPr>
      <w:r w:rsidRPr="0074705F">
        <w:rPr>
          <w:rFonts w:ascii="Arial" w:hAnsi="Arial" w:cs="Arial"/>
        </w:rPr>
        <w:t>En virtud de que se ha declarado el sobreseimiento, este juzgador no entra al estudio de la cuestión de  fondo planteada, sirve de apoyo la  siguiente tesis sustentada por el Poder Judicial de la Federación: “</w:t>
      </w:r>
      <w:r w:rsidRPr="0074705F">
        <w:rPr>
          <w:rFonts w:ascii="Arial" w:hAnsi="Arial" w:cs="Arial"/>
          <w:b/>
          <w:i/>
        </w:rPr>
        <w:t>SOBRESEIMIENTO. NO PERMITE ENTRAR AL ESTUDIO  DE LAS CUESTIONES PLANTEADAS</w:t>
      </w:r>
      <w:r w:rsidRPr="0074705F">
        <w:rPr>
          <w:rFonts w:ascii="Arial" w:hAnsi="Arial" w:cs="Arial"/>
          <w:i/>
        </w:rPr>
        <w:t xml:space="preserve">.- No causa agravio la sentencia que no se ocupa de los razonamientos tendientes a demostrar la violación de garantías individuales por los actos reclamados de las autoridades responsables, que </w:t>
      </w:r>
      <w:bookmarkStart w:id="0" w:name="_GoBack"/>
      <w:bookmarkEnd w:id="0"/>
      <w:r w:rsidRPr="0074705F">
        <w:rPr>
          <w:rFonts w:ascii="Arial" w:hAnsi="Arial" w:cs="Arial"/>
          <w:i/>
        </w:rPr>
        <w:t xml:space="preserve">constituyen el problema de fondo, si se decreta el sobreseimiento del juicio”. Visible en el Apéndice de Jurisprudencia de 1917 – 1975, Segunda Sala, número 527, p.879. </w:t>
      </w:r>
    </w:p>
    <w:p w:rsidR="00AF75BC" w:rsidRPr="0074705F" w:rsidRDefault="00AF75BC" w:rsidP="00AF75BC">
      <w:pPr>
        <w:jc w:val="both"/>
        <w:rPr>
          <w:rFonts w:ascii="Arial" w:hAnsi="Arial" w:cs="Arial"/>
        </w:rPr>
      </w:pPr>
      <w:r w:rsidRPr="0074705F">
        <w:rPr>
          <w:rFonts w:ascii="Arial" w:hAnsi="Arial" w:cs="Arial"/>
        </w:rPr>
        <w:t>En mérito de lo expuesto y fundado, y con fundamento en el artículo 244 de la Ley Orgánica Municipal para el Estado de Guanajuato y el artículo 1 fracción II, del  Código de la materia, es de resolverse y se.-----------------------</w:t>
      </w:r>
      <w:r>
        <w:rPr>
          <w:rFonts w:ascii="Arial" w:hAnsi="Arial" w:cs="Arial"/>
        </w:rPr>
        <w:t>-----------------------------</w:t>
      </w:r>
      <w:r w:rsidRPr="0074705F">
        <w:rPr>
          <w:rFonts w:ascii="Arial" w:hAnsi="Arial" w:cs="Arial"/>
        </w:rPr>
        <w:t>------------</w:t>
      </w:r>
    </w:p>
    <w:p w:rsidR="00AF75BC" w:rsidRPr="0074705F" w:rsidRDefault="00AF75BC" w:rsidP="00AF75BC">
      <w:pPr>
        <w:jc w:val="center"/>
        <w:rPr>
          <w:rFonts w:ascii="Arial" w:hAnsi="Arial" w:cs="Arial"/>
          <w:b/>
        </w:rPr>
      </w:pPr>
      <w:r w:rsidRPr="0074705F">
        <w:rPr>
          <w:rFonts w:ascii="Arial" w:hAnsi="Arial" w:cs="Arial"/>
          <w:b/>
        </w:rPr>
        <w:t>R E S U E L V E</w:t>
      </w:r>
    </w:p>
    <w:p w:rsidR="00AF75BC" w:rsidRPr="0074705F" w:rsidRDefault="00AF75BC" w:rsidP="00AF75BC">
      <w:pPr>
        <w:jc w:val="both"/>
        <w:rPr>
          <w:rFonts w:ascii="Arial" w:hAnsi="Arial" w:cs="Arial"/>
        </w:rPr>
      </w:pPr>
      <w:r w:rsidRPr="0074705F">
        <w:rPr>
          <w:rFonts w:ascii="Arial" w:hAnsi="Arial" w:cs="Arial"/>
          <w:b/>
        </w:rPr>
        <w:t>PRIMERO.-</w:t>
      </w:r>
      <w:r w:rsidRPr="0074705F">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SEGUNDO.-</w:t>
      </w:r>
      <w:r w:rsidRPr="0074705F">
        <w:rPr>
          <w:rFonts w:ascii="Arial" w:hAnsi="Arial" w:cs="Arial"/>
        </w:rPr>
        <w:t xml:space="preserve"> </w:t>
      </w:r>
      <w:r w:rsidRPr="0074705F">
        <w:rPr>
          <w:rFonts w:ascii="Arial" w:hAnsi="Arial" w:cs="Arial"/>
          <w:b/>
        </w:rPr>
        <w:t xml:space="preserve"> SE SOBRESEE EL PRESENTE PROCESO</w:t>
      </w:r>
      <w:r w:rsidRPr="0074705F">
        <w:rPr>
          <w:rFonts w:ascii="Arial" w:hAnsi="Arial" w:cs="Arial"/>
        </w:rPr>
        <w:t xml:space="preserve">, por las razones y fundamentos expuestos en el considerando </w:t>
      </w:r>
      <w:r>
        <w:rPr>
          <w:rFonts w:ascii="Arial" w:hAnsi="Arial" w:cs="Arial"/>
        </w:rPr>
        <w:t xml:space="preserve">segundo </w:t>
      </w:r>
      <w:r w:rsidRPr="0074705F">
        <w:rPr>
          <w:rFonts w:ascii="Arial" w:hAnsi="Arial" w:cs="Arial"/>
        </w:rPr>
        <w:t>de ésta resolución.---</w:t>
      </w:r>
      <w:r>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lastRenderedPageBreak/>
        <w:t xml:space="preserve">TERCERO.- </w:t>
      </w:r>
      <w:r w:rsidRPr="0074705F">
        <w:rPr>
          <w:rFonts w:ascii="Arial" w:hAnsi="Arial" w:cs="Arial"/>
        </w:rPr>
        <w:t>Se revoca la suspensión otorgada dentro del presente proceso, lo anterior de conformidad con lo señalado por el artículo 278 del Código que impera en este Juzgado.---------</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rPr>
      </w:pPr>
      <w:r w:rsidRPr="0074705F">
        <w:rPr>
          <w:rFonts w:ascii="Arial" w:hAnsi="Arial" w:cs="Arial"/>
          <w:b/>
        </w:rPr>
        <w:t xml:space="preserve">CUARTO.- </w:t>
      </w:r>
      <w:r w:rsidRPr="0074705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4705F">
        <w:rPr>
          <w:rFonts w:ascii="Arial" w:hAnsi="Arial" w:cs="Arial"/>
        </w:rPr>
        <w:t>-------------------</w:t>
      </w:r>
    </w:p>
    <w:p w:rsidR="00AF75BC" w:rsidRDefault="00AF75BC" w:rsidP="00AF75BC">
      <w:pPr>
        <w:jc w:val="both"/>
        <w:rPr>
          <w:rFonts w:ascii="Arial" w:hAnsi="Arial" w:cs="Arial"/>
          <w:b/>
        </w:rPr>
      </w:pPr>
    </w:p>
    <w:p w:rsidR="00AF75BC" w:rsidRPr="0074705F" w:rsidRDefault="00AF75BC" w:rsidP="00AF75BC">
      <w:pPr>
        <w:jc w:val="both"/>
        <w:rPr>
          <w:rFonts w:ascii="Arial" w:hAnsi="Arial" w:cs="Arial"/>
        </w:rPr>
      </w:pPr>
      <w:r w:rsidRPr="0074705F">
        <w:rPr>
          <w:rFonts w:ascii="Arial" w:hAnsi="Arial" w:cs="Arial"/>
          <w:b/>
        </w:rPr>
        <w:t>NOTIFIQUESE.</w:t>
      </w:r>
      <w:r w:rsidRPr="0074705F">
        <w:rPr>
          <w:rFonts w:ascii="Arial" w:hAnsi="Arial" w:cs="Arial"/>
        </w:rPr>
        <w:t>--------------</w:t>
      </w:r>
      <w:r>
        <w:rPr>
          <w:rFonts w:ascii="Arial" w:hAnsi="Arial" w:cs="Arial"/>
        </w:rPr>
        <w:t>----------------------</w:t>
      </w:r>
      <w:r w:rsidRPr="0074705F">
        <w:rPr>
          <w:rFonts w:ascii="Arial" w:hAnsi="Arial" w:cs="Arial"/>
        </w:rPr>
        <w:t>-------------------------------------------------------</w:t>
      </w:r>
    </w:p>
    <w:p w:rsidR="00AF75BC" w:rsidRPr="0074705F" w:rsidRDefault="00AF75BC" w:rsidP="00AF75BC">
      <w:pPr>
        <w:jc w:val="both"/>
        <w:rPr>
          <w:rFonts w:ascii="Arial" w:hAnsi="Arial" w:cs="Arial"/>
        </w:rPr>
      </w:pPr>
      <w:r w:rsidRPr="0074705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AF75BC" w:rsidRPr="0074705F" w:rsidRDefault="00AF75BC" w:rsidP="00AF75BC">
      <w:pPr>
        <w:rPr>
          <w:rFonts w:ascii="Arial" w:hAnsi="Arial" w:cs="Arial"/>
        </w:rPr>
      </w:pPr>
    </w:p>
    <w:p w:rsidR="00AF75BC" w:rsidRPr="0074705F" w:rsidRDefault="00AF75BC" w:rsidP="00AF75BC">
      <w:pPr>
        <w:rPr>
          <w:rFonts w:ascii="Arial" w:hAnsi="Arial" w:cs="Arial"/>
        </w:rPr>
      </w:pPr>
    </w:p>
    <w:p w:rsidR="00AF75BC" w:rsidRPr="0074705F" w:rsidRDefault="00AF75BC" w:rsidP="00AF75BC">
      <w:pPr>
        <w:rPr>
          <w:rFonts w:ascii="Arial" w:hAnsi="Arial" w:cs="Arial"/>
        </w:rPr>
      </w:pPr>
    </w:p>
    <w:p w:rsidR="00AF75BC" w:rsidRDefault="00AF75BC" w:rsidP="00AF75BC"/>
    <w:p w:rsidR="00AF75BC" w:rsidRDefault="00AF75BC" w:rsidP="00AF75BC"/>
    <w:p w:rsidR="00AF75BC" w:rsidRDefault="00AF75BC" w:rsidP="00AF75BC"/>
    <w:p w:rsidR="00AF75BC" w:rsidRDefault="00AF75BC" w:rsidP="00AF75BC"/>
    <w:p w:rsidR="00AF75BC" w:rsidRDefault="00AF75BC" w:rsidP="00AF75BC"/>
    <w:p w:rsidR="00DC46F6" w:rsidRDefault="00DC46F6"/>
    <w:sectPr w:rsidR="00DC46F6" w:rsidSect="00AF75B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41823"/>
    <w:multiLevelType w:val="hybridMultilevel"/>
    <w:tmpl w:val="24C4B5DA"/>
    <w:lvl w:ilvl="0" w:tplc="C0B44360">
      <w:start w:val="1"/>
      <w:numFmt w:val="upp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 w15:restartNumberingAfterBreak="0">
    <w:nsid w:val="615705C2"/>
    <w:multiLevelType w:val="hybridMultilevel"/>
    <w:tmpl w:val="ECB0D2FE"/>
    <w:lvl w:ilvl="0" w:tplc="D9C28D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5846B5"/>
    <w:multiLevelType w:val="hybridMultilevel"/>
    <w:tmpl w:val="4950EB60"/>
    <w:lvl w:ilvl="0" w:tplc="99B2EC00">
      <w:start w:val="1"/>
      <w:numFmt w:val="upperRoman"/>
      <w:lvlText w:val="%1."/>
      <w:lvlJc w:val="left"/>
      <w:pPr>
        <w:ind w:left="1080" w:hanging="72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BC"/>
    <w:rsid w:val="00AF75BC"/>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4513-2C19-4B0D-9458-32D358B5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B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5B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3181</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2021-04-28T18:41:00Z</dcterms:created>
  <dcterms:modified xsi:type="dcterms:W3CDTF">2021-04-28T18:45:00Z</dcterms:modified>
</cp:coreProperties>
</file>